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2C" w:rsidRDefault="003F0C2C" w:rsidP="003F0C2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9ECEEF" wp14:editId="76757CC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99435" cy="144780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 FONDAZIONE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C2C" w:rsidRDefault="003F0C2C" w:rsidP="003F0C2C"/>
    <w:p w:rsidR="003F0C2C" w:rsidRDefault="003F0C2C" w:rsidP="003F0C2C"/>
    <w:p w:rsidR="003F0C2C" w:rsidRDefault="003F0C2C" w:rsidP="003F0C2C">
      <w:pPr>
        <w:spacing w:after="0" w:line="240" w:lineRule="auto"/>
      </w:pPr>
    </w:p>
    <w:p w:rsidR="003F0C2C" w:rsidRDefault="003F0C2C" w:rsidP="003F0C2C">
      <w:pPr>
        <w:spacing w:after="0" w:line="240" w:lineRule="auto"/>
        <w:jc w:val="center"/>
      </w:pPr>
    </w:p>
    <w:p w:rsidR="003F0C2C" w:rsidRDefault="003F0C2C" w:rsidP="003F0C2C">
      <w:pPr>
        <w:spacing w:after="0" w:line="240" w:lineRule="auto"/>
        <w:jc w:val="center"/>
      </w:pPr>
    </w:p>
    <w:p w:rsidR="003F0C2C" w:rsidRDefault="003F0C2C" w:rsidP="003F0C2C">
      <w:pPr>
        <w:spacing w:after="0" w:line="240" w:lineRule="auto"/>
        <w:jc w:val="center"/>
      </w:pPr>
      <w:r>
        <w:t>ONLUS</w:t>
      </w:r>
    </w:p>
    <w:p w:rsidR="00AF4A01" w:rsidRDefault="00AF4A01" w:rsidP="003F0C2C"/>
    <w:p w:rsidR="003F0C2C" w:rsidRPr="003F0C2C" w:rsidRDefault="003F0C2C" w:rsidP="003F0C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C2C">
        <w:rPr>
          <w:rFonts w:ascii="Times New Roman" w:hAnsi="Times New Roman" w:cs="Times New Roman"/>
          <w:b/>
          <w:sz w:val="24"/>
          <w:szCs w:val="24"/>
        </w:rPr>
        <w:t>LA CLASS ACTION</w:t>
      </w:r>
    </w:p>
    <w:p w:rsidR="003F0C2C" w:rsidRDefault="003F0C2C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2C" w:rsidRP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2C">
        <w:rPr>
          <w:rFonts w:ascii="Times New Roman" w:hAnsi="Times New Roman" w:cs="Times New Roman"/>
          <w:sz w:val="24"/>
          <w:szCs w:val="24"/>
        </w:rPr>
        <w:t>Dal 1° gennaio 2010 i consumatori hanno a disposizione uno strumen</w:t>
      </w:r>
      <w:r>
        <w:rPr>
          <w:rFonts w:ascii="Times New Roman" w:hAnsi="Times New Roman" w:cs="Times New Roman"/>
          <w:sz w:val="24"/>
          <w:szCs w:val="24"/>
        </w:rPr>
        <w:t xml:space="preserve">to per far valere in giudizio propri diritti: l'azione di </w:t>
      </w:r>
      <w:r w:rsidRPr="003F0C2C">
        <w:rPr>
          <w:rFonts w:ascii="Times New Roman" w:hAnsi="Times New Roman" w:cs="Times New Roman"/>
          <w:sz w:val="24"/>
          <w:szCs w:val="24"/>
        </w:rPr>
        <w:t xml:space="preserve">classe, meglio conosciuta come </w:t>
      </w:r>
      <w:proofErr w:type="spellStart"/>
      <w:r w:rsidRPr="003F0C2C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3F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C2C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3F0C2C">
        <w:rPr>
          <w:rFonts w:ascii="Times New Roman" w:hAnsi="Times New Roman" w:cs="Times New Roman"/>
          <w:sz w:val="24"/>
          <w:szCs w:val="24"/>
        </w:rPr>
        <w:t>, che è regolata dall'articolo 140-bis del Codice del Co</w:t>
      </w:r>
      <w:r>
        <w:rPr>
          <w:rFonts w:ascii="Times New Roman" w:hAnsi="Times New Roman" w:cs="Times New Roman"/>
          <w:sz w:val="24"/>
          <w:szCs w:val="24"/>
        </w:rPr>
        <w:t xml:space="preserve">nsumo. Ogni volta che i diritti </w:t>
      </w:r>
      <w:r w:rsidRPr="003F0C2C">
        <w:rPr>
          <w:rFonts w:ascii="Times New Roman" w:hAnsi="Times New Roman" w:cs="Times New Roman"/>
          <w:sz w:val="24"/>
          <w:szCs w:val="24"/>
        </w:rPr>
        <w:t>di una pluralità di consumatori/utenti sono stati lesi in modo identico dal comportament</w:t>
      </w:r>
      <w:r>
        <w:rPr>
          <w:rFonts w:ascii="Times New Roman" w:hAnsi="Times New Roman" w:cs="Times New Roman"/>
          <w:sz w:val="24"/>
          <w:szCs w:val="24"/>
        </w:rPr>
        <w:t xml:space="preserve">o di una impresa, i consumatori </w:t>
      </w:r>
      <w:r w:rsidRPr="003F0C2C">
        <w:rPr>
          <w:rFonts w:ascii="Times New Roman" w:hAnsi="Times New Roman" w:cs="Times New Roman"/>
          <w:sz w:val="24"/>
          <w:szCs w:val="24"/>
        </w:rPr>
        <w:t>possono ora tentare la strada dell'azione collettiva, eventualmente dando il mandato a</w:t>
      </w:r>
      <w:r>
        <w:rPr>
          <w:rFonts w:ascii="Times New Roman" w:hAnsi="Times New Roman" w:cs="Times New Roman"/>
          <w:sz w:val="24"/>
          <w:szCs w:val="24"/>
        </w:rPr>
        <w:t xml:space="preserve">d un'associazione di tutela dei </w:t>
      </w:r>
      <w:r w:rsidRPr="003F0C2C">
        <w:rPr>
          <w:rFonts w:ascii="Times New Roman" w:hAnsi="Times New Roman" w:cs="Times New Roman"/>
          <w:sz w:val="24"/>
          <w:szCs w:val="24"/>
        </w:rPr>
        <w:t>consumatori: un unico procedimento che impegna un unico tri</w:t>
      </w:r>
      <w:r>
        <w:rPr>
          <w:rFonts w:ascii="Times New Roman" w:hAnsi="Times New Roman" w:cs="Times New Roman"/>
          <w:sz w:val="24"/>
          <w:szCs w:val="24"/>
        </w:rPr>
        <w:t xml:space="preserve">bunale, invece che tante azioni individuali separate, davanti a </w:t>
      </w:r>
      <w:r w:rsidRPr="003F0C2C">
        <w:rPr>
          <w:rFonts w:ascii="Times New Roman" w:hAnsi="Times New Roman" w:cs="Times New Roman"/>
          <w:sz w:val="24"/>
          <w:szCs w:val="24"/>
        </w:rPr>
        <w:t>tanti giudici diversi. L'azione può essere promossa soltanto contro illeciti commessi successivamente al 15 agosto 2009.</w:t>
      </w:r>
    </w:p>
    <w:p w:rsidR="003F0C2C" w:rsidRP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2C">
        <w:rPr>
          <w:rFonts w:ascii="Times New Roman" w:hAnsi="Times New Roman" w:cs="Times New Roman"/>
          <w:sz w:val="24"/>
          <w:szCs w:val="24"/>
        </w:rPr>
        <w:t xml:space="preserve">Sono azionabili in giudizio con questo nuovo strumento: a) quei diritti </w:t>
      </w:r>
      <w:r>
        <w:rPr>
          <w:rFonts w:ascii="Times New Roman" w:hAnsi="Times New Roman" w:cs="Times New Roman"/>
          <w:sz w:val="24"/>
          <w:szCs w:val="24"/>
        </w:rPr>
        <w:t xml:space="preserve">contrattuali, inclusi i diritti relativi a contratti stipulati </w:t>
      </w:r>
      <w:r w:rsidRPr="003F0C2C">
        <w:rPr>
          <w:rFonts w:ascii="Times New Roman" w:hAnsi="Times New Roman" w:cs="Times New Roman"/>
          <w:sz w:val="24"/>
          <w:szCs w:val="24"/>
        </w:rPr>
        <w:t>mediante moduli o formulari predisposti, che sono propri di una pluralità di consumatori e utenti i</w:t>
      </w:r>
      <w:r>
        <w:rPr>
          <w:rFonts w:ascii="Times New Roman" w:hAnsi="Times New Roman" w:cs="Times New Roman"/>
          <w:sz w:val="24"/>
          <w:szCs w:val="24"/>
        </w:rPr>
        <w:t xml:space="preserve"> quali si trovano nei confronti </w:t>
      </w:r>
      <w:r w:rsidRPr="003F0C2C">
        <w:rPr>
          <w:rFonts w:ascii="Times New Roman" w:hAnsi="Times New Roman" w:cs="Times New Roman"/>
          <w:sz w:val="24"/>
          <w:szCs w:val="24"/>
        </w:rPr>
        <w:t>di una stessa impresa in una situazione identica, b) i diritti identici spettanti ai consumatori fi</w:t>
      </w:r>
      <w:r>
        <w:rPr>
          <w:rFonts w:ascii="Times New Roman" w:hAnsi="Times New Roman" w:cs="Times New Roman"/>
          <w:sz w:val="24"/>
          <w:szCs w:val="24"/>
        </w:rPr>
        <w:t xml:space="preserve">nali di un determinato prodotto </w:t>
      </w:r>
      <w:r w:rsidRPr="003F0C2C">
        <w:rPr>
          <w:rFonts w:ascii="Times New Roman" w:hAnsi="Times New Roman" w:cs="Times New Roman"/>
          <w:sz w:val="24"/>
          <w:szCs w:val="24"/>
        </w:rPr>
        <w:t>nei confronti del relativo produttore, c) i diritti identici al ristoro del pregiudizio derivante agli</w:t>
      </w:r>
      <w:r>
        <w:rPr>
          <w:rFonts w:ascii="Times New Roman" w:hAnsi="Times New Roman" w:cs="Times New Roman"/>
          <w:sz w:val="24"/>
          <w:szCs w:val="24"/>
        </w:rPr>
        <w:t xml:space="preserve"> stessi consumatori e utenti da </w:t>
      </w:r>
      <w:r w:rsidRPr="003F0C2C">
        <w:rPr>
          <w:rFonts w:ascii="Times New Roman" w:hAnsi="Times New Roman" w:cs="Times New Roman"/>
          <w:sz w:val="24"/>
          <w:szCs w:val="24"/>
        </w:rPr>
        <w:t>pratiche commerciali scorrette o da comportamenti anticoncorrenziali. svantaggioso).</w:t>
      </w:r>
    </w:p>
    <w:p w:rsidR="003F0C2C" w:rsidRP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2C">
        <w:rPr>
          <w:rFonts w:ascii="Times New Roman" w:hAnsi="Times New Roman" w:cs="Times New Roman"/>
          <w:sz w:val="24"/>
          <w:szCs w:val="24"/>
        </w:rPr>
        <w:t>I singoli consumatori in quest'ottica sono pertanto tutti componenti di una classe - di una pluralit</w:t>
      </w:r>
      <w:r>
        <w:rPr>
          <w:rFonts w:ascii="Times New Roman" w:hAnsi="Times New Roman" w:cs="Times New Roman"/>
          <w:sz w:val="24"/>
          <w:szCs w:val="24"/>
        </w:rPr>
        <w:t xml:space="preserve">à di consumatori che si trovano </w:t>
      </w:r>
      <w:r w:rsidRPr="003F0C2C">
        <w:rPr>
          <w:rFonts w:ascii="Times New Roman" w:hAnsi="Times New Roman" w:cs="Times New Roman"/>
          <w:sz w:val="24"/>
          <w:szCs w:val="24"/>
        </w:rPr>
        <w:t>nella stessa posizione nei confronti della stessa impresa che intendono far valere un diritto id</w:t>
      </w:r>
      <w:r>
        <w:rPr>
          <w:rFonts w:ascii="Times New Roman" w:hAnsi="Times New Roman" w:cs="Times New Roman"/>
          <w:sz w:val="24"/>
          <w:szCs w:val="24"/>
        </w:rPr>
        <w:t xml:space="preserve">entico. Il giudice competente è </w:t>
      </w:r>
      <w:r w:rsidRPr="003F0C2C">
        <w:rPr>
          <w:rFonts w:ascii="Times New Roman" w:hAnsi="Times New Roman" w:cs="Times New Roman"/>
          <w:sz w:val="24"/>
          <w:szCs w:val="24"/>
        </w:rPr>
        <w:t xml:space="preserve">generalmente il Tribunale del capoluogo della Regione dove ha sede l'impresa, con alcune </w:t>
      </w:r>
      <w:r>
        <w:rPr>
          <w:rFonts w:ascii="Times New Roman" w:hAnsi="Times New Roman" w:cs="Times New Roman"/>
          <w:sz w:val="24"/>
          <w:szCs w:val="24"/>
        </w:rPr>
        <w:t xml:space="preserve">eccezioni che non riguardano la </w:t>
      </w:r>
      <w:r w:rsidRPr="003F0C2C">
        <w:rPr>
          <w:rFonts w:ascii="Times New Roman" w:hAnsi="Times New Roman" w:cs="Times New Roman"/>
          <w:sz w:val="24"/>
          <w:szCs w:val="24"/>
        </w:rPr>
        <w:t>LOMBARDIA.</w:t>
      </w:r>
    </w:p>
    <w:p w:rsid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2C">
        <w:rPr>
          <w:rFonts w:ascii="Times New Roman" w:hAnsi="Times New Roman" w:cs="Times New Roman"/>
          <w:sz w:val="24"/>
          <w:szCs w:val="24"/>
        </w:rPr>
        <w:t>Il procedimento deve essere iniziato da un componente della classe (ovvero un singolo consum</w:t>
      </w:r>
      <w:r>
        <w:rPr>
          <w:rFonts w:ascii="Times New Roman" w:hAnsi="Times New Roman" w:cs="Times New Roman"/>
          <w:sz w:val="24"/>
          <w:szCs w:val="24"/>
        </w:rPr>
        <w:t xml:space="preserve">atore) che può a tal fine anche </w:t>
      </w:r>
      <w:r w:rsidRPr="003F0C2C">
        <w:rPr>
          <w:rFonts w:ascii="Times New Roman" w:hAnsi="Times New Roman" w:cs="Times New Roman"/>
          <w:sz w:val="24"/>
          <w:szCs w:val="24"/>
        </w:rPr>
        <w:t>dare un mandato ad un’associazione di tutela dei consumatori o ad un comitato di cui egli fa pa</w:t>
      </w:r>
      <w:r>
        <w:rPr>
          <w:rFonts w:ascii="Times New Roman" w:hAnsi="Times New Roman" w:cs="Times New Roman"/>
          <w:sz w:val="24"/>
          <w:szCs w:val="24"/>
        </w:rPr>
        <w:t xml:space="preserve">rte. La sentenza ha efficacia e </w:t>
      </w:r>
      <w:r w:rsidRPr="003F0C2C">
        <w:rPr>
          <w:rFonts w:ascii="Times New Roman" w:hAnsi="Times New Roman" w:cs="Times New Roman"/>
          <w:sz w:val="24"/>
          <w:szCs w:val="24"/>
        </w:rPr>
        <w:t>vincola non solo le parti in senso stretto, il proponente e l'impresa, ma fa stato anche nei confronti degli aderenti.</w:t>
      </w:r>
    </w:p>
    <w:p w:rsid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646"/>
        <w:gridCol w:w="1873"/>
      </w:tblGrid>
      <w:tr w:rsidR="003F0C2C" w:rsidTr="003F0C2C">
        <w:tc>
          <w:tcPr>
            <w:tcW w:w="3259" w:type="dxa"/>
          </w:tcPr>
          <w:p w:rsidR="003F0C2C" w:rsidRPr="003F0C2C" w:rsidRDefault="003F0C2C" w:rsidP="003F0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Riferimento normativo</w:t>
            </w:r>
          </w:p>
        </w:tc>
        <w:tc>
          <w:tcPr>
            <w:tcW w:w="4646" w:type="dxa"/>
          </w:tcPr>
          <w:p w:rsidR="003F0C2C" w:rsidRPr="003F0C2C" w:rsidRDefault="003F0C2C" w:rsidP="003F0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Contenuti dell'obbligo</w:t>
            </w:r>
          </w:p>
        </w:tc>
        <w:tc>
          <w:tcPr>
            <w:tcW w:w="1873" w:type="dxa"/>
          </w:tcPr>
          <w:p w:rsidR="003F0C2C" w:rsidRPr="003F0C2C" w:rsidRDefault="003F0C2C" w:rsidP="003F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Aggiornamento</w:t>
            </w:r>
          </w:p>
          <w:p w:rsidR="003F0C2C" w:rsidRPr="003F0C2C" w:rsidRDefault="003F0C2C" w:rsidP="003F0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2C" w:rsidTr="003F0C2C">
        <w:tc>
          <w:tcPr>
            <w:tcW w:w="3259" w:type="dxa"/>
          </w:tcPr>
          <w:p w:rsidR="003F0C2C" w:rsidRDefault="003F0C2C" w:rsidP="003F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Art. 1, c. 2, d.lgs. n. 198/2009</w:t>
            </w:r>
          </w:p>
        </w:tc>
        <w:tc>
          <w:tcPr>
            <w:tcW w:w="4646" w:type="dxa"/>
          </w:tcPr>
          <w:p w:rsidR="003F0C2C" w:rsidRPr="003F0C2C" w:rsidRDefault="003F0C2C" w:rsidP="003F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Notizia del ricorso in giudizio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posto dai titolari di interessi giuridicamente rilevanti ed </w:t>
            </w: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omogenei nei confronti delle</w:t>
            </w:r>
          </w:p>
          <w:p w:rsidR="003F0C2C" w:rsidRPr="003F0C2C" w:rsidRDefault="003F0C2C" w:rsidP="003F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amministrazioni e dei concessionari di servizio pubblico al fine di </w:t>
            </w: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ripristinare il corretto svolgimento 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funzione o la corretta </w:t>
            </w: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erogazione di un servizio</w:t>
            </w:r>
          </w:p>
          <w:p w:rsidR="003F0C2C" w:rsidRDefault="003F0C2C" w:rsidP="003F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F0C2C" w:rsidRPr="003F0C2C" w:rsidRDefault="003F0C2C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Tempestivo</w:t>
            </w:r>
          </w:p>
          <w:p w:rsidR="003F0C2C" w:rsidRDefault="003F0C2C" w:rsidP="003F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C2C" w:rsidRDefault="003F0C2C" w:rsidP="003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646"/>
        <w:gridCol w:w="1873"/>
      </w:tblGrid>
      <w:tr w:rsidR="00AF4A01" w:rsidTr="00AF4A01">
        <w:tc>
          <w:tcPr>
            <w:tcW w:w="3259" w:type="dxa"/>
          </w:tcPr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Riferimento normativo</w:t>
            </w:r>
          </w:p>
        </w:tc>
        <w:tc>
          <w:tcPr>
            <w:tcW w:w="4646" w:type="dxa"/>
          </w:tcPr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Contenuti dell'obbligo</w:t>
            </w:r>
          </w:p>
        </w:tc>
        <w:tc>
          <w:tcPr>
            <w:tcW w:w="1873" w:type="dxa"/>
          </w:tcPr>
          <w:p w:rsidR="00AF4A01" w:rsidRPr="003F0C2C" w:rsidRDefault="00AF4A01" w:rsidP="0044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Aggiornamento</w:t>
            </w:r>
          </w:p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A01" w:rsidTr="00AF4A01">
        <w:tc>
          <w:tcPr>
            <w:tcW w:w="3259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Art. 4, c. 2, d.lgs. n. 198/2009</w:t>
            </w:r>
          </w:p>
        </w:tc>
        <w:tc>
          <w:tcPr>
            <w:tcW w:w="4646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Sentenza di definizione del giudizio</w:t>
            </w:r>
          </w:p>
        </w:tc>
        <w:tc>
          <w:tcPr>
            <w:tcW w:w="1873" w:type="dxa"/>
          </w:tcPr>
          <w:p w:rsidR="00AF4A01" w:rsidRPr="003F0C2C" w:rsidRDefault="00AF4A01" w:rsidP="00A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Tempestivo</w:t>
            </w:r>
          </w:p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C2C" w:rsidRPr="003F0C2C" w:rsidRDefault="003F0C2C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646"/>
        <w:gridCol w:w="1873"/>
      </w:tblGrid>
      <w:tr w:rsidR="00AF4A01" w:rsidTr="00AF4A01">
        <w:tc>
          <w:tcPr>
            <w:tcW w:w="3259" w:type="dxa"/>
          </w:tcPr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Riferimento normativo</w:t>
            </w:r>
          </w:p>
        </w:tc>
        <w:tc>
          <w:tcPr>
            <w:tcW w:w="4646" w:type="dxa"/>
          </w:tcPr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Contenuti dell'obbligo</w:t>
            </w:r>
          </w:p>
        </w:tc>
        <w:tc>
          <w:tcPr>
            <w:tcW w:w="1873" w:type="dxa"/>
          </w:tcPr>
          <w:p w:rsidR="00AF4A01" w:rsidRPr="003F0C2C" w:rsidRDefault="00AF4A01" w:rsidP="0044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b/>
                <w:sz w:val="24"/>
                <w:szCs w:val="24"/>
              </w:rPr>
              <w:t>Aggiornamento</w:t>
            </w:r>
          </w:p>
          <w:p w:rsidR="00AF4A01" w:rsidRPr="003F0C2C" w:rsidRDefault="00AF4A01" w:rsidP="004443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A01" w:rsidTr="00AF4A01">
        <w:tc>
          <w:tcPr>
            <w:tcW w:w="3259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Art. 4, c. 6, d.lgs. n. 198/2009</w:t>
            </w:r>
          </w:p>
        </w:tc>
        <w:tc>
          <w:tcPr>
            <w:tcW w:w="4646" w:type="dxa"/>
          </w:tcPr>
          <w:p w:rsidR="00AF4A01" w:rsidRDefault="00AF4A01" w:rsidP="00A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Misure adottate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ottemperanza alla sentenza</w:t>
            </w:r>
          </w:p>
        </w:tc>
        <w:tc>
          <w:tcPr>
            <w:tcW w:w="1873" w:type="dxa"/>
          </w:tcPr>
          <w:p w:rsidR="00AF4A01" w:rsidRPr="003F0C2C" w:rsidRDefault="00AF4A01" w:rsidP="00A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Tempestivo</w:t>
            </w:r>
          </w:p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AF4A01" w:rsidTr="00AF4A01">
        <w:tc>
          <w:tcPr>
            <w:tcW w:w="3227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</w:p>
        </w:tc>
        <w:tc>
          <w:tcPr>
            <w:tcW w:w="6551" w:type="dxa"/>
          </w:tcPr>
          <w:p w:rsidR="00AF4A01" w:rsidRPr="003F0C2C" w:rsidRDefault="00AF4A01" w:rsidP="00AF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2C">
              <w:rPr>
                <w:rFonts w:ascii="Times New Roman" w:hAnsi="Times New Roman" w:cs="Times New Roman"/>
                <w:sz w:val="24"/>
                <w:szCs w:val="24"/>
              </w:rPr>
              <w:t>Azioni</w:t>
            </w:r>
          </w:p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01" w:rsidTr="00AF4A01">
        <w:tc>
          <w:tcPr>
            <w:tcW w:w="3227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551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AF4A01" w:rsidTr="00AF4A01">
        <w:tc>
          <w:tcPr>
            <w:tcW w:w="3227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551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AF4A01" w:rsidTr="00AF4A01">
        <w:tc>
          <w:tcPr>
            <w:tcW w:w="3227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51" w:type="dxa"/>
          </w:tcPr>
          <w:p w:rsidR="00AF4A01" w:rsidRDefault="00AF4A01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6A2903" w:rsidTr="00AF4A01">
        <w:tc>
          <w:tcPr>
            <w:tcW w:w="3227" w:type="dxa"/>
          </w:tcPr>
          <w:p w:rsidR="006A2903" w:rsidRDefault="006A2903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51" w:type="dxa"/>
          </w:tcPr>
          <w:p w:rsidR="006A2903" w:rsidRDefault="006A2903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6E2CEB" w:rsidTr="00AF4A01">
        <w:tc>
          <w:tcPr>
            <w:tcW w:w="3227" w:type="dxa"/>
          </w:tcPr>
          <w:p w:rsidR="006E2CEB" w:rsidRDefault="006E2CEB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51" w:type="dxa"/>
          </w:tcPr>
          <w:p w:rsidR="006E2CEB" w:rsidRDefault="006E2CEB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C94FA8" w:rsidTr="00AF4A01">
        <w:tc>
          <w:tcPr>
            <w:tcW w:w="3227" w:type="dxa"/>
          </w:tcPr>
          <w:p w:rsidR="00C94FA8" w:rsidRDefault="00C94FA8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51" w:type="dxa"/>
          </w:tcPr>
          <w:p w:rsidR="00C94FA8" w:rsidRDefault="00C94FA8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</w:p>
        </w:tc>
      </w:tr>
      <w:tr w:rsidR="0094683B" w:rsidTr="00AF4A01">
        <w:tc>
          <w:tcPr>
            <w:tcW w:w="3227" w:type="dxa"/>
          </w:tcPr>
          <w:p w:rsidR="0094683B" w:rsidRDefault="0094683B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51" w:type="dxa"/>
          </w:tcPr>
          <w:p w:rsidR="0094683B" w:rsidRDefault="0094683B" w:rsidP="003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Nessuna</w:t>
            </w:r>
            <w:bookmarkStart w:id="0" w:name="_GoBack"/>
            <w:bookmarkEnd w:id="0"/>
          </w:p>
        </w:tc>
      </w:tr>
    </w:tbl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01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2C" w:rsidRPr="003F0C2C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C2C" w:rsidRPr="003F0C2C">
        <w:rPr>
          <w:rFonts w:ascii="Times New Roman" w:hAnsi="Times New Roman" w:cs="Times New Roman"/>
          <w:sz w:val="24"/>
          <w:szCs w:val="24"/>
        </w:rPr>
        <w:t>Il Presidente</w:t>
      </w:r>
    </w:p>
    <w:p w:rsidR="00382AF8" w:rsidRPr="003F0C2C" w:rsidRDefault="00AF4A01" w:rsidP="003F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Dott. </w:t>
      </w:r>
      <w:r w:rsidR="00C94FA8">
        <w:rPr>
          <w:rFonts w:ascii="Times New Roman" w:hAnsi="Times New Roman" w:cs="Times New Roman"/>
          <w:sz w:val="24"/>
          <w:szCs w:val="24"/>
        </w:rPr>
        <w:t xml:space="preserve">Fabrizio Andrea </w:t>
      </w:r>
      <w:proofErr w:type="spellStart"/>
      <w:r w:rsidR="00C94FA8">
        <w:rPr>
          <w:rFonts w:ascii="Times New Roman" w:hAnsi="Times New Roman" w:cs="Times New Roman"/>
          <w:sz w:val="24"/>
          <w:szCs w:val="24"/>
        </w:rPr>
        <w:t>Orizio</w:t>
      </w:r>
      <w:proofErr w:type="spellEnd"/>
    </w:p>
    <w:sectPr w:rsidR="00382AF8" w:rsidRPr="003F0C2C" w:rsidSect="00AF4A0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76"/>
    <w:rsid w:val="00247392"/>
    <w:rsid w:val="00370445"/>
    <w:rsid w:val="003F0C2C"/>
    <w:rsid w:val="006A2903"/>
    <w:rsid w:val="006E2CEB"/>
    <w:rsid w:val="0094683B"/>
    <w:rsid w:val="00AF4A01"/>
    <w:rsid w:val="00B14976"/>
    <w:rsid w:val="00C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Alessia Serini</cp:lastModifiedBy>
  <cp:revision>7</cp:revision>
  <dcterms:created xsi:type="dcterms:W3CDTF">2018-10-19T10:13:00Z</dcterms:created>
  <dcterms:modified xsi:type="dcterms:W3CDTF">2022-02-24T15:09:00Z</dcterms:modified>
</cp:coreProperties>
</file>